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421506">
        <w:tc>
          <w:tcPr>
            <w:tcW w:w="12950" w:type="dxa"/>
            <w:shd w:val="clear" w:color="auto" w:fill="FFF2CC" w:themeFill="accent4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421506">
              <w:rPr>
                <w:b/>
                <w:sz w:val="28"/>
                <w:szCs w:val="28"/>
              </w:rPr>
              <w:t>3</w:t>
            </w:r>
            <w:r w:rsidR="00421506" w:rsidRPr="00421506">
              <w:rPr>
                <w:b/>
                <w:sz w:val="28"/>
                <w:szCs w:val="28"/>
                <w:vertAlign w:val="superscript"/>
              </w:rPr>
              <w:t>rd</w:t>
            </w:r>
            <w:r w:rsidR="00421506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A436A3">
              <w:rPr>
                <w:b/>
                <w:sz w:val="28"/>
                <w:szCs w:val="28"/>
              </w:rPr>
              <w:t>6-8</w:t>
            </w:r>
          </w:p>
          <w:p w:rsidR="00080EAE" w:rsidRDefault="00050EEE" w:rsidP="00080EAE">
            <w:pPr>
              <w:jc w:val="center"/>
            </w:pPr>
            <w:r>
              <w:rPr>
                <w:b/>
                <w:sz w:val="28"/>
                <w:szCs w:val="28"/>
              </w:rPr>
              <w:t>February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A436A3" w:rsidRPr="00A436A3" w:rsidRDefault="00181A05" w:rsidP="00A4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1"/>
            </w:tblGrid>
            <w:tr w:rsidR="00A436A3">
              <w:trPr>
                <w:trHeight w:val="260"/>
              </w:trPr>
              <w:tc>
                <w:tcPr>
                  <w:tcW w:w="0" w:type="auto"/>
                </w:tcPr>
                <w:p w:rsidR="00050EEE" w:rsidRPr="00050EEE" w:rsidRDefault="00050EEE" w:rsidP="00050E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05"/>
                  </w:tblGrid>
                  <w:tr w:rsidR="00050EEE" w:rsidRPr="00050EEE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050EEE" w:rsidRPr="00050EEE" w:rsidRDefault="00050EEE" w:rsidP="00050EE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Compare and Contrast</w:t>
                        </w:r>
                      </w:p>
                    </w:tc>
                  </w:tr>
                </w:tbl>
                <w:p w:rsidR="00A436A3" w:rsidRDefault="00A436A3" w:rsidP="00050EEE">
                  <w:pPr>
                    <w:pStyle w:val="Default"/>
                    <w:ind w:left="78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57AC4" w:rsidRPr="00A436A3" w:rsidRDefault="00657AC4" w:rsidP="00A436A3">
            <w:pPr>
              <w:rPr>
                <w:sz w:val="28"/>
                <w:szCs w:val="28"/>
              </w:rPr>
            </w:pPr>
          </w:p>
          <w:p w:rsidR="00B45610" w:rsidRDefault="00B45610" w:rsidP="00657AC4">
            <w:pPr>
              <w:rPr>
                <w:sz w:val="28"/>
                <w:szCs w:val="28"/>
              </w:rPr>
            </w:pPr>
          </w:p>
          <w:p w:rsidR="00657AC4" w:rsidRDefault="00E35AD7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C524CD" w:rsidRDefault="00C524CD" w:rsidP="00657AC4">
            <w:pPr>
              <w:rPr>
                <w:sz w:val="28"/>
                <w:szCs w:val="28"/>
              </w:rPr>
            </w:pPr>
          </w:p>
          <w:p w:rsidR="00B45610" w:rsidRDefault="00B4561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EX.6.RL.7        EX.6.RL.9       EX.7.RL.7</w:t>
            </w:r>
          </w:p>
          <w:p w:rsidR="00B45610" w:rsidRDefault="00B4561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EX.7.RL.9        EX.8.RL.7       EX.8.RL.9</w:t>
            </w:r>
          </w:p>
          <w:p w:rsidR="00B45610" w:rsidRDefault="00B4561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EX.6.RI.7         EX.6.RI.8       EX.6.RI.9</w:t>
            </w:r>
          </w:p>
          <w:p w:rsidR="00B45610" w:rsidRDefault="00B4561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EX.7.RI.7         EX.7.RI.8       EX.7.RI.9</w:t>
            </w:r>
          </w:p>
          <w:p w:rsidR="00B45610" w:rsidRDefault="00B4561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EX.8.RI.7         EX.8.RI.8       EX.8.RI.9</w:t>
            </w:r>
          </w:p>
          <w:p w:rsidR="00B45610" w:rsidRPr="00B45610" w:rsidRDefault="00B45610" w:rsidP="00657AC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A436A3" w:rsidRPr="00D7585C" w:rsidRDefault="00181A05" w:rsidP="00D7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A436A3" w:rsidTr="00050EEE">
              <w:trPr>
                <w:trHeight w:val="180"/>
              </w:trPr>
              <w:tc>
                <w:tcPr>
                  <w:tcW w:w="0" w:type="auto"/>
                </w:tcPr>
                <w:p w:rsidR="00050EEE" w:rsidRPr="00050EEE" w:rsidRDefault="00A436A3" w:rsidP="00050EEE">
                  <w:pPr>
                    <w:pStyle w:val="Default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28"/>
                  </w:tblGrid>
                  <w:tr w:rsidR="00050EEE" w:rsidRPr="00050EEE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050EEE" w:rsidRPr="00050EEE" w:rsidRDefault="00050EEE" w:rsidP="00050EE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Probability</w:t>
                        </w:r>
                      </w:p>
                    </w:tc>
                  </w:tr>
                </w:tbl>
                <w:p w:rsidR="00A436A3" w:rsidRDefault="00A436A3" w:rsidP="00050EEE">
                  <w:pPr>
                    <w:pStyle w:val="Default"/>
                    <w:ind w:left="78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D7585C" w:rsidRDefault="00D7585C" w:rsidP="00657AC4">
            <w:pPr>
              <w:rPr>
                <w:sz w:val="28"/>
                <w:szCs w:val="28"/>
              </w:rPr>
            </w:pPr>
          </w:p>
          <w:p w:rsidR="00B45610" w:rsidRDefault="00B45610" w:rsidP="00657AC4">
            <w:pPr>
              <w:rPr>
                <w:sz w:val="28"/>
                <w:szCs w:val="28"/>
              </w:rPr>
            </w:pPr>
          </w:p>
          <w:p w:rsidR="00657AC4" w:rsidRDefault="001F7E5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F7E54" w:rsidRDefault="001F7E54" w:rsidP="00B45610">
            <w:pPr>
              <w:rPr>
                <w:sz w:val="20"/>
                <w:szCs w:val="20"/>
              </w:rPr>
            </w:pPr>
          </w:p>
          <w:p w:rsidR="00B45610" w:rsidRDefault="00B45610" w:rsidP="00B4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EX.7.SP.1     EX.7.SP.2         EX.7.SP.3</w:t>
            </w:r>
          </w:p>
          <w:p w:rsidR="00B45610" w:rsidRPr="00B45610" w:rsidRDefault="00B45610" w:rsidP="00B4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EX.7.SP.5     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A436A3" w:rsidRPr="00D7585C" w:rsidRDefault="00181A05" w:rsidP="00D7585C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4"/>
            </w:tblGrid>
            <w:tr w:rsidR="00A436A3">
              <w:trPr>
                <w:trHeight w:val="112"/>
              </w:trPr>
              <w:tc>
                <w:tcPr>
                  <w:tcW w:w="0" w:type="auto"/>
                </w:tcPr>
                <w:p w:rsidR="00050EEE" w:rsidRPr="00050EEE" w:rsidRDefault="00050EEE" w:rsidP="00050E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98"/>
                  </w:tblGrid>
                  <w:tr w:rsidR="00050EEE" w:rsidRPr="00050EEE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050EEE" w:rsidRPr="00E0258A" w:rsidRDefault="00050EEE" w:rsidP="00E0258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Water Cycle </w:t>
                        </w:r>
                      </w:p>
                      <w:p w:rsidR="00E0258A" w:rsidRPr="00050EEE" w:rsidRDefault="00E0258A" w:rsidP="00E0258A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36A3" w:rsidRDefault="00A436A3" w:rsidP="00050EEE">
                  <w:pPr>
                    <w:pStyle w:val="Default"/>
                    <w:ind w:left="78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B45610" w:rsidRDefault="00B45610" w:rsidP="00657AC4">
            <w:pPr>
              <w:rPr>
                <w:sz w:val="28"/>
                <w:szCs w:val="28"/>
              </w:rPr>
            </w:pPr>
          </w:p>
          <w:p w:rsidR="00657AC4" w:rsidRDefault="001F7E5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E73CB9" w:rsidRDefault="00E73CB9" w:rsidP="00E73CB9">
            <w:pPr>
              <w:rPr>
                <w:sz w:val="20"/>
                <w:szCs w:val="20"/>
              </w:rPr>
            </w:pPr>
          </w:p>
          <w:p w:rsidR="00B45610" w:rsidRDefault="00B45610" w:rsidP="00E7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EX.7.E.1.1      EX.7.E.1.2    EX.7.E.1.3</w:t>
            </w:r>
          </w:p>
          <w:p w:rsidR="00B45610" w:rsidRPr="00B45610" w:rsidRDefault="00B45610" w:rsidP="00E7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EX.8.E.1.1      EX.8.E.1.2    EX.8.E.1.3</w:t>
            </w:r>
          </w:p>
          <w:p w:rsidR="00E73CB9" w:rsidRDefault="00E73CB9" w:rsidP="00E73CB9">
            <w:pPr>
              <w:rPr>
                <w:sz w:val="28"/>
                <w:szCs w:val="28"/>
              </w:rPr>
            </w:pPr>
          </w:p>
          <w:p w:rsidR="00E73CB9" w:rsidRDefault="00E73CB9" w:rsidP="00E73CB9">
            <w:pPr>
              <w:rPr>
                <w:sz w:val="28"/>
                <w:szCs w:val="28"/>
              </w:rPr>
            </w:pPr>
          </w:p>
          <w:p w:rsidR="00E73CB9" w:rsidRDefault="00E73CB9" w:rsidP="00E73CB9">
            <w:pPr>
              <w:rPr>
                <w:sz w:val="28"/>
                <w:szCs w:val="28"/>
              </w:rPr>
            </w:pPr>
          </w:p>
          <w:p w:rsidR="00E73CB9" w:rsidRPr="00657AC4" w:rsidRDefault="00E73CB9" w:rsidP="00E73CB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A436A3" w:rsidRPr="00D7585C" w:rsidRDefault="00181A05" w:rsidP="00D7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050EEE" w:rsidRPr="00050EEE" w:rsidRDefault="00050EEE" w:rsidP="00050E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8"/>
            </w:tblGrid>
            <w:tr w:rsidR="00050EEE" w:rsidRPr="00050EEE">
              <w:trPr>
                <w:trHeight w:val="103"/>
              </w:trPr>
              <w:tc>
                <w:tcPr>
                  <w:tcW w:w="0" w:type="auto"/>
                </w:tcPr>
                <w:p w:rsidR="00050EEE" w:rsidRPr="005D7521" w:rsidRDefault="005D7521" w:rsidP="00050EEE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Maps</w:t>
                  </w:r>
                </w:p>
                <w:p w:rsidR="005D7521" w:rsidRPr="00050EEE" w:rsidRDefault="005D7521" w:rsidP="005D7521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78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57AC4" w:rsidRPr="00DF4322" w:rsidRDefault="00657AC4" w:rsidP="00657AC4">
            <w:pPr>
              <w:rPr>
                <w:sz w:val="24"/>
                <w:szCs w:val="24"/>
              </w:rPr>
            </w:pPr>
          </w:p>
          <w:p w:rsidR="00B45610" w:rsidRPr="00DF4322" w:rsidRDefault="00B45610" w:rsidP="00657AC4">
            <w:pPr>
              <w:rPr>
                <w:sz w:val="24"/>
                <w:szCs w:val="24"/>
              </w:rPr>
            </w:pPr>
          </w:p>
          <w:p w:rsidR="00DF4322" w:rsidRPr="00DF4322" w:rsidRDefault="00DF4322" w:rsidP="00657AC4">
            <w:pPr>
              <w:rPr>
                <w:sz w:val="24"/>
                <w:szCs w:val="24"/>
              </w:rPr>
            </w:pPr>
          </w:p>
          <w:p w:rsidR="00657AC4" w:rsidRDefault="001F7E5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B45610" w:rsidRDefault="00B45610" w:rsidP="00E73CB9">
            <w:pPr>
              <w:rPr>
                <w:sz w:val="20"/>
                <w:szCs w:val="20"/>
              </w:rPr>
            </w:pPr>
          </w:p>
          <w:p w:rsidR="00B45610" w:rsidRDefault="00B45610" w:rsidP="00E7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EX.6.G.2.1     EX.7.G.2.1     EX.7.G.2.2</w:t>
            </w:r>
          </w:p>
          <w:p w:rsidR="001F7E54" w:rsidRDefault="001F7E54" w:rsidP="001F7E54">
            <w:pPr>
              <w:rPr>
                <w:sz w:val="28"/>
                <w:szCs w:val="28"/>
              </w:rPr>
            </w:pPr>
          </w:p>
          <w:p w:rsidR="001F7E54" w:rsidRDefault="001F7E54" w:rsidP="001F7E54">
            <w:pPr>
              <w:rPr>
                <w:sz w:val="28"/>
                <w:szCs w:val="28"/>
              </w:rPr>
            </w:pPr>
          </w:p>
          <w:p w:rsidR="001F7E54" w:rsidRDefault="001F7E54" w:rsidP="001F7E54">
            <w:pPr>
              <w:rPr>
                <w:sz w:val="28"/>
                <w:szCs w:val="28"/>
              </w:rPr>
            </w:pPr>
          </w:p>
          <w:p w:rsidR="001F7E54" w:rsidRPr="00657AC4" w:rsidRDefault="001F7E54" w:rsidP="00657AC4">
            <w:pPr>
              <w:rPr>
                <w:sz w:val="28"/>
                <w:szCs w:val="28"/>
              </w:rPr>
            </w:pPr>
          </w:p>
          <w:p w:rsidR="00D34DA6" w:rsidRPr="00181A05" w:rsidRDefault="00D34DA6">
            <w:pPr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3330"/>
        <w:gridCol w:w="3150"/>
        <w:gridCol w:w="3235"/>
      </w:tblGrid>
      <w:tr w:rsidR="00D34DA6" w:rsidTr="001B20D1">
        <w:trPr>
          <w:trHeight w:val="7010"/>
        </w:trPr>
        <w:tc>
          <w:tcPr>
            <w:tcW w:w="3235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050EEE" w:rsidRDefault="00050EEE" w:rsidP="00E35AD7"/>
          <w:p w:rsidR="00050EEE" w:rsidRPr="00050EEE" w:rsidRDefault="00050EEE" w:rsidP="00050E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7460" w:rsidRDefault="00E35AD7" w:rsidP="00897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B8267C" w:rsidRPr="00897460" w:rsidRDefault="00B8267C" w:rsidP="00897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 xml:space="preserve">EX.6.RL.7. Compare a video or enacted version of a story, poem or drama to a text-based version of the same story, poem, or drama. </w:t>
            </w:r>
          </w:p>
          <w:p w:rsidR="00B8267C" w:rsidRDefault="00B8267C" w:rsidP="00B8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EX.6.RL.9. Compare two stories, poems, or dramas on similar themes or topics.</w:t>
            </w:r>
          </w:p>
          <w:p w:rsidR="00B8267C" w:rsidRDefault="00B8267C" w:rsidP="00B8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EX.7.RL.7. Compare and contrast a video or enacted version of a story, poem or drama to a text-based version of the same story, poem, or drama.</w:t>
            </w:r>
          </w:p>
          <w:p w:rsidR="00A51611" w:rsidRDefault="00A51611" w:rsidP="00B8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EX.7.RL.9. Compare a fictional portrayal of a time, place, or character with an historical account of the same time, place or character</w:t>
            </w:r>
          </w:p>
          <w:p w:rsidR="00A51611" w:rsidRDefault="00A51611" w:rsidP="00B8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EX.8.RL.7. Compare and contrast a filmed or live production of a story or drama with its text or script and determine how the acting influences meaning (e.g., the main character makes the </w:t>
            </w:r>
            <w:r>
              <w:rPr>
                <w:rFonts w:ascii="Calibri" w:hAnsi="Calibri"/>
                <w:color w:val="000000"/>
              </w:rPr>
              <w:lastRenderedPageBreak/>
              <w:t>role funny when the words alone are serious).</w:t>
            </w:r>
          </w:p>
          <w:p w:rsidR="00A51611" w:rsidRDefault="00A51611" w:rsidP="00B8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B8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Pr="00B8267C" w:rsidRDefault="00A51611" w:rsidP="00B8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EX.8.RL.9. Compare and contrast themes, patterns of events or characters across two or more stories or dramas.</w:t>
            </w:r>
          </w:p>
          <w:p w:rsidR="00E35AD7" w:rsidRDefault="00E35AD7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EX.6.RI.7. Find similarities across information presented in different formats (e.g., print or digital text, video, multimedia).</w:t>
            </w:r>
          </w:p>
          <w:p w:rsidR="00A51611" w:rsidRDefault="00A51611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EX.6.RI.8. Determine whether claims in a text are fact or opinion.</w:t>
            </w:r>
          </w:p>
          <w:p w:rsidR="00A51611" w:rsidRDefault="00A51611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EX.6.RI.9. Compare two texts about similar events.</w:t>
            </w:r>
          </w:p>
          <w:p w:rsidR="00A51611" w:rsidRDefault="00A51611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EX.7.RI.7 Determine how understanding shifts when reading a text versus experiencing an audio, video, or multimedia version of it (</w:t>
            </w:r>
            <w:r w:rsidR="00DD22E4">
              <w:rPr>
                <w:rFonts w:ascii="Calibri" w:hAnsi="Calibri"/>
                <w:color w:val="000000"/>
              </w:rPr>
              <w:t xml:space="preserve">e.g., read to list of words that </w:t>
            </w:r>
            <w:r>
              <w:rPr>
                <w:rFonts w:ascii="Calibri" w:hAnsi="Calibri"/>
                <w:color w:val="000000"/>
              </w:rPr>
              <w:t>describe the main character then add to or revise the resulting list of words after watching a video portrayal of the same text).</w:t>
            </w:r>
          </w:p>
          <w:p w:rsidR="00A51611" w:rsidRDefault="00A51611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EX.7.RI.8 Analyze a text to identify reasons or evidence which support claims in a text.</w:t>
            </w:r>
          </w:p>
          <w:p w:rsidR="00A51611" w:rsidRDefault="00A51611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EX.7.RI.9 Compare and contrast the key information provided by authors of two different texts on the same topic.</w:t>
            </w:r>
          </w:p>
          <w:p w:rsidR="00526D8C" w:rsidRDefault="00526D8C" w:rsidP="00A51611">
            <w:pPr>
              <w:rPr>
                <w:rFonts w:ascii="Calibri" w:hAnsi="Calibri"/>
                <w:color w:val="000000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EX.8.RI.7. Determine the advantages of using print (or digital text), video, or multimedia to present information on a topic or idea.</w:t>
            </w:r>
          </w:p>
          <w:p w:rsidR="00A51611" w:rsidRDefault="00A51611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EX.8.RI.8. Determine whether claims in a text are fact or opinion and identify reasoning or evidence to support facts.</w:t>
            </w:r>
          </w:p>
          <w:p w:rsidR="00A51611" w:rsidRDefault="00A51611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EX.8.RI.9. Evaluate the key information provided by authors of two different texts on the same topic and determine if they agree or disagree on each point.</w:t>
            </w:r>
          </w:p>
          <w:p w:rsidR="00A51611" w:rsidRPr="00D7585C" w:rsidRDefault="00A51611" w:rsidP="00D75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9E202F" w:rsidRDefault="009E202F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050EEE" w:rsidRDefault="00050EEE" w:rsidP="00050E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EX.7.SP.1. Identify a representative random sample (i.e., would not</w:t>
            </w:r>
            <w:r>
              <w:rPr>
                <w:rFonts w:ascii="Calibri" w:hAnsi="Calibri"/>
                <w:color w:val="000000"/>
              </w:rPr>
              <w:br/>
              <w:t>select only the people who</w:t>
            </w:r>
            <w:r>
              <w:rPr>
                <w:rFonts w:ascii="Calibri" w:hAnsi="Calibri"/>
                <w:color w:val="000000"/>
              </w:rPr>
              <w:br/>
              <w:t xml:space="preserve">ride buses) </w:t>
            </w:r>
          </w:p>
          <w:p w:rsidR="00D7585C" w:rsidRDefault="00D7585C" w:rsidP="00D75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EX.7.SP.2. Use samples to gain information about a population.</w:t>
            </w:r>
          </w:p>
          <w:p w:rsidR="00A51611" w:rsidRDefault="00A51611" w:rsidP="00D75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EX.7.SP.3. Interpret the results of the sampling.</w:t>
            </w: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EX.7.SP.5. Understand the events of probability as being possible or impossible.</w:t>
            </w: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</w:p>
          <w:p w:rsidR="00A51611" w:rsidRPr="00050EEE" w:rsidRDefault="00A51611" w:rsidP="00D75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50EEE" w:rsidRPr="00050EEE" w:rsidTr="00EC2F69">
              <w:trPr>
                <w:trHeight w:val="1117"/>
              </w:trPr>
              <w:tc>
                <w:tcPr>
                  <w:tcW w:w="222" w:type="dxa"/>
                </w:tcPr>
                <w:p w:rsidR="00D7585C" w:rsidRPr="00050EEE" w:rsidRDefault="00050EEE" w:rsidP="00D75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50E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50EEE" w:rsidRPr="00050EEE" w:rsidRDefault="00050EEE" w:rsidP="00050E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E35AD7" w:rsidRPr="002F6E4A" w:rsidRDefault="00E35AD7" w:rsidP="00E35A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6E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2F6E4A" w:rsidRDefault="002F6E4A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9F5135" w:rsidRDefault="009F5135" w:rsidP="009F51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EX.7.E.1.1 Recognize the water left in an open container evaporates over</w:t>
            </w:r>
            <w:r>
              <w:rPr>
                <w:rFonts w:ascii="Calibri" w:hAnsi="Calibri"/>
                <w:color w:val="000000"/>
              </w:rPr>
              <w:br/>
              <w:t xml:space="preserve">time </w:t>
            </w:r>
          </w:p>
          <w:p w:rsidR="00A51611" w:rsidRDefault="00A51611" w:rsidP="009F5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EX.7.E.1.2 Identify the parts of the water cycle (evaporation, condensation, precipitation, run off).</w:t>
            </w:r>
          </w:p>
          <w:p w:rsidR="00A51611" w:rsidRDefault="00A51611" w:rsidP="009F5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EX.7.E.1.3 Describe the consequences of too much or too little water (e.g. drought, flooding).</w:t>
            </w:r>
          </w:p>
          <w:p w:rsidR="00A51611" w:rsidRDefault="00A51611" w:rsidP="009F5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EX.8.E.1.1 Identify water features on the earth’s surface (oceans, lakes, rivers, glaciers).</w:t>
            </w:r>
          </w:p>
          <w:p w:rsidR="00A51611" w:rsidRDefault="00A51611" w:rsidP="009F5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EX.8.E.1.2 Compare Earth’s saltwater and freshwater features (oceans, lakes, rivers).</w:t>
            </w:r>
          </w:p>
          <w:p w:rsidR="00A51611" w:rsidRDefault="00A51611" w:rsidP="009F5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EX.8.E.1.3 Understand that human health requires monitoring of the hydrosphere and stewardship (e.g. water conservation, pollution).</w:t>
            </w:r>
          </w:p>
          <w:p w:rsidR="00A51611" w:rsidRPr="00A51611" w:rsidRDefault="00A51611" w:rsidP="009F5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F5135" w:rsidTr="00EC2F69">
              <w:trPr>
                <w:trHeight w:val="585"/>
              </w:trPr>
              <w:tc>
                <w:tcPr>
                  <w:tcW w:w="1396" w:type="dxa"/>
                </w:tcPr>
                <w:p w:rsidR="009F5135" w:rsidRPr="009E202F" w:rsidRDefault="009F5135" w:rsidP="00D75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  <w:tc>
                <w:tcPr>
                  <w:tcW w:w="222" w:type="dxa"/>
                </w:tcPr>
                <w:p w:rsidR="009F5135" w:rsidRPr="009E202F" w:rsidRDefault="009F5135"/>
              </w:tc>
            </w:tr>
          </w:tbl>
          <w:p w:rsidR="009E202F" w:rsidRPr="00D34DA6" w:rsidRDefault="009E202F" w:rsidP="009E202F">
            <w:pPr>
              <w:rPr>
                <w:b/>
                <w:sz w:val="32"/>
                <w:szCs w:val="32"/>
              </w:rPr>
            </w:pPr>
          </w:p>
        </w:tc>
        <w:tc>
          <w:tcPr>
            <w:tcW w:w="3235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2F6E4A" w:rsidRDefault="002F6E4A" w:rsidP="002F6E4A">
            <w:pPr>
              <w:rPr>
                <w:b/>
                <w:sz w:val="32"/>
                <w:szCs w:val="32"/>
              </w:rPr>
            </w:pPr>
          </w:p>
          <w:p w:rsidR="002F6E4A" w:rsidRDefault="002F6E4A" w:rsidP="00A5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6E4A">
              <w:rPr>
                <w:rFonts w:ascii="Arial" w:hAnsi="Arial" w:cs="Arial"/>
              </w:rPr>
              <w:t xml:space="preserve"> </w:t>
            </w: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EX.6.G.2.1 Locate community markers on a map (pictures of the location).</w:t>
            </w:r>
          </w:p>
          <w:p w:rsidR="00A51611" w:rsidRDefault="00A51611" w:rsidP="00A5161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EC.7.G.2.1 Use key (e.g., H =Hospital, Picture of bus= bus stop) and cardinal directions (north, south, east, west) to locate community markers.</w:t>
            </w:r>
          </w:p>
          <w:p w:rsidR="00A51611" w:rsidRDefault="00A51611" w:rsidP="00A5161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A51611" w:rsidRDefault="00A51611" w:rsidP="00A516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EC.7.G.2.2 Use available technology tools (i.e.,</w:t>
            </w:r>
            <w:r w:rsidR="00102F6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GPS and GIS software) to locate community markers.</w:t>
            </w:r>
          </w:p>
          <w:p w:rsidR="00A51611" w:rsidRPr="00A51611" w:rsidRDefault="00A51611" w:rsidP="00A5161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41FA1"/>
    <w:multiLevelType w:val="hybridMultilevel"/>
    <w:tmpl w:val="EEEC7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0309F6"/>
    <w:multiLevelType w:val="hybridMultilevel"/>
    <w:tmpl w:val="810402A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61B5"/>
    <w:multiLevelType w:val="hybridMultilevel"/>
    <w:tmpl w:val="52C4A99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50EEE"/>
    <w:rsid w:val="00080EAE"/>
    <w:rsid w:val="000A76F2"/>
    <w:rsid w:val="00102F60"/>
    <w:rsid w:val="00181A05"/>
    <w:rsid w:val="001B20D1"/>
    <w:rsid w:val="001F7E54"/>
    <w:rsid w:val="00201BAB"/>
    <w:rsid w:val="00256615"/>
    <w:rsid w:val="00262330"/>
    <w:rsid w:val="002F6E4A"/>
    <w:rsid w:val="00370CE8"/>
    <w:rsid w:val="0038701C"/>
    <w:rsid w:val="00395EA4"/>
    <w:rsid w:val="00421506"/>
    <w:rsid w:val="00465E0D"/>
    <w:rsid w:val="00526D8C"/>
    <w:rsid w:val="005D7521"/>
    <w:rsid w:val="00641BC6"/>
    <w:rsid w:val="00657AC4"/>
    <w:rsid w:val="00864A8D"/>
    <w:rsid w:val="008833C7"/>
    <w:rsid w:val="00897460"/>
    <w:rsid w:val="00950C13"/>
    <w:rsid w:val="009E202F"/>
    <w:rsid w:val="009F5135"/>
    <w:rsid w:val="00A436A3"/>
    <w:rsid w:val="00A51611"/>
    <w:rsid w:val="00B45610"/>
    <w:rsid w:val="00B8267C"/>
    <w:rsid w:val="00BC0DDF"/>
    <w:rsid w:val="00C224FE"/>
    <w:rsid w:val="00C524CD"/>
    <w:rsid w:val="00C72CE3"/>
    <w:rsid w:val="00D34DA6"/>
    <w:rsid w:val="00D7585C"/>
    <w:rsid w:val="00DC6FE2"/>
    <w:rsid w:val="00DD22E4"/>
    <w:rsid w:val="00DF4322"/>
    <w:rsid w:val="00E0258A"/>
    <w:rsid w:val="00E35AD7"/>
    <w:rsid w:val="00E73CB9"/>
    <w:rsid w:val="00EC2F69"/>
    <w:rsid w:val="00ED31AA"/>
    <w:rsid w:val="00F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  <w:style w:type="paragraph" w:customStyle="1" w:styleId="Default">
    <w:name w:val="Default"/>
    <w:rsid w:val="00A43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5</cp:revision>
  <dcterms:created xsi:type="dcterms:W3CDTF">2016-04-11T20:09:00Z</dcterms:created>
  <dcterms:modified xsi:type="dcterms:W3CDTF">2016-06-15T13:52:00Z</dcterms:modified>
</cp:coreProperties>
</file>